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84D" w:rsidRDefault="00ED784D">
      <w:bookmarkStart w:id="0" w:name="_GoBack"/>
      <w:bookmarkEnd w:id="0"/>
    </w:p>
    <w:p w:rsidR="00ED784D" w:rsidRPr="00ED784D" w:rsidRDefault="00ED784D" w:rsidP="00ED78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84D">
        <w:rPr>
          <w:rFonts w:ascii="Open Sans" w:eastAsia="Times New Roman" w:hAnsi="Open Sans" w:cs="Times New Roman"/>
          <w:color w:val="444444"/>
          <w:sz w:val="2"/>
          <w:szCs w:val="2"/>
          <w:shd w:val="clear" w:color="auto" w:fill="FFFFFF"/>
          <w:lang w:eastAsia="ru-RU"/>
        </w:rPr>
        <w:t> </w:t>
      </w:r>
    </w:p>
    <w:p w:rsidR="00ED784D" w:rsidRDefault="00ED784D" w:rsidP="00ED784D">
      <w:pPr>
        <w:shd w:val="clear" w:color="auto" w:fill="FFFFFF"/>
        <w:spacing w:after="300" w:line="240" w:lineRule="auto"/>
        <w:textAlignment w:val="center"/>
        <w:outlineLvl w:val="1"/>
        <w:rPr>
          <w:rFonts w:ascii="Arial" w:eastAsia="Times New Roman" w:hAnsi="Arial" w:cs="Arial"/>
          <w:b/>
          <w:bCs/>
          <w:color w:val="2F281E"/>
          <w:sz w:val="48"/>
          <w:szCs w:val="48"/>
          <w:lang w:eastAsia="ru-RU"/>
        </w:rPr>
      </w:pPr>
      <w:r w:rsidRPr="00ED784D">
        <w:rPr>
          <w:rFonts w:ascii="Arial" w:eastAsia="Times New Roman" w:hAnsi="Arial" w:cs="Arial"/>
          <w:b/>
          <w:bCs/>
          <w:color w:val="2F281E"/>
          <w:sz w:val="48"/>
          <w:szCs w:val="48"/>
          <w:lang w:eastAsia="ru-RU"/>
        </w:rPr>
        <w:t>Датчик уровня топлива</w:t>
      </w:r>
    </w:p>
    <w:p w:rsidR="00ED784D" w:rsidRPr="00486F74" w:rsidRDefault="00486F74" w:rsidP="00ED784D">
      <w:pPr>
        <w:numPr>
          <w:ilvl w:val="0"/>
          <w:numId w:val="6"/>
        </w:numPr>
        <w:shd w:val="clear" w:color="auto" w:fill="FFFFFF"/>
        <w:spacing w:before="150" w:after="100" w:afterAutospacing="1" w:line="240" w:lineRule="auto"/>
        <w:ind w:left="-150"/>
        <w:rPr>
          <w:rFonts w:ascii="Open Sans" w:hAnsi="Open Sans"/>
          <w:color w:val="444444"/>
          <w:sz w:val="24"/>
          <w:szCs w:val="24"/>
        </w:rPr>
      </w:pPr>
      <w:hyperlink r:id="rId5" w:history="1">
        <w:r w:rsidR="00ED784D" w:rsidRPr="00486F74">
          <w:rPr>
            <w:rStyle w:val="a3"/>
            <w:rFonts w:ascii="Arial" w:hAnsi="Arial" w:cs="Arial"/>
            <w:color w:val="444444"/>
            <w:sz w:val="24"/>
            <w:szCs w:val="24"/>
            <w:shd w:val="clear" w:color="auto" w:fill="EEEEEE"/>
          </w:rPr>
          <w:t>Описание</w:t>
        </w:r>
      </w:hyperlink>
    </w:p>
    <w:p w:rsidR="00ED784D" w:rsidRPr="00486F74" w:rsidRDefault="00ED784D" w:rsidP="00ED784D">
      <w:pPr>
        <w:numPr>
          <w:ilvl w:val="0"/>
          <w:numId w:val="1"/>
        </w:numPr>
        <w:shd w:val="clear" w:color="auto" w:fill="FFFFFF"/>
        <w:spacing w:after="300" w:line="270" w:lineRule="atLeast"/>
        <w:ind w:left="0"/>
        <w:textAlignment w:val="center"/>
        <w:rPr>
          <w:rFonts w:ascii="Open Sans" w:eastAsia="Times New Roman" w:hAnsi="Open Sans" w:cs="Times New Roman"/>
          <w:color w:val="757575"/>
          <w:sz w:val="24"/>
          <w:szCs w:val="24"/>
          <w:lang w:eastAsia="ru-RU"/>
        </w:rPr>
      </w:pPr>
      <w:r w:rsidRPr="00486F74">
        <w:rPr>
          <w:rFonts w:ascii="Open Sans" w:eastAsia="Times New Roman" w:hAnsi="Open Sans" w:cs="Times New Roman"/>
          <w:color w:val="757575"/>
          <w:sz w:val="24"/>
          <w:szCs w:val="24"/>
          <w:lang w:eastAsia="ru-RU"/>
        </w:rPr>
        <w:t>Датчик уровня топлива (ДУТ) – устройство, предназначенное для постоянного контроля за расходом топлива на транспортных средствах всех видов.</w:t>
      </w:r>
      <w:r w:rsidRPr="00486F74">
        <w:rPr>
          <w:rFonts w:ascii="Open Sans" w:eastAsia="Times New Roman" w:hAnsi="Open Sans" w:cs="Times New Roman"/>
          <w:color w:val="757575"/>
          <w:sz w:val="24"/>
          <w:szCs w:val="24"/>
          <w:lang w:eastAsia="ru-RU"/>
        </w:rPr>
        <w:br/>
        <w:t>Датчики ITALON предназначены для измерения уровня топлива в топливном баке транспортных средств и неподвижных объектов, даёт сравнение реального и планового расхода горюче-смазочных материалов, показывает информацию о заправках и сливах. Датчик может использоваться совместно с системами спутникового мониторинга транспорта (GPS/ГЛОНАСС) разных производителей. Он никак не влияет на работу всех остальных частей транспортного средства.</w:t>
      </w:r>
    </w:p>
    <w:p w:rsidR="00ED784D" w:rsidRPr="00486F74" w:rsidRDefault="00486F74" w:rsidP="00486F74">
      <w:pPr>
        <w:numPr>
          <w:ilvl w:val="0"/>
          <w:numId w:val="1"/>
        </w:numPr>
        <w:shd w:val="clear" w:color="auto" w:fill="FFFFFF"/>
        <w:spacing w:before="150" w:after="100" w:afterAutospacing="1" w:line="240" w:lineRule="auto"/>
        <w:rPr>
          <w:rFonts w:ascii="Open Sans" w:hAnsi="Open Sans"/>
          <w:color w:val="444444"/>
          <w:sz w:val="24"/>
          <w:szCs w:val="24"/>
        </w:rPr>
      </w:pPr>
      <w:hyperlink r:id="rId6" w:history="1">
        <w:r w:rsidR="00ED784D" w:rsidRPr="00486F74">
          <w:rPr>
            <w:rStyle w:val="a3"/>
            <w:rFonts w:ascii="Arial" w:hAnsi="Arial" w:cs="Arial"/>
            <w:color w:val="44904B"/>
            <w:sz w:val="24"/>
            <w:szCs w:val="24"/>
          </w:rPr>
          <w:t>Преимущества</w:t>
        </w:r>
      </w:hyperlink>
    </w:p>
    <w:p w:rsidR="00ED784D" w:rsidRPr="00486F74" w:rsidRDefault="00ED784D" w:rsidP="00ED784D">
      <w:pPr>
        <w:pStyle w:val="a4"/>
        <w:numPr>
          <w:ilvl w:val="0"/>
          <w:numId w:val="1"/>
        </w:numPr>
        <w:shd w:val="clear" w:color="auto" w:fill="FFFFFF"/>
        <w:spacing w:before="0" w:beforeAutospacing="0" w:after="300" w:afterAutospacing="0" w:line="270" w:lineRule="atLeast"/>
        <w:rPr>
          <w:rFonts w:ascii="Open Sans" w:hAnsi="Open Sans"/>
          <w:color w:val="757575"/>
        </w:rPr>
      </w:pPr>
      <w:r w:rsidRPr="00486F74">
        <w:rPr>
          <w:rFonts w:ascii="Open Sans" w:hAnsi="Open Sans"/>
          <w:b/>
          <w:bCs/>
          <w:color w:val="757575"/>
        </w:rPr>
        <w:t>Датчик уровня топлива ITALON имеет следующие преимущества:</w:t>
      </w:r>
      <w:r w:rsidRPr="00486F74">
        <w:rPr>
          <w:rFonts w:ascii="Open Sans" w:hAnsi="Open Sans"/>
          <w:color w:val="757575"/>
        </w:rPr>
        <w:br/>
        <w:t>• стандартная длина датчика 1000 мм, тогда как у всех остальных — 700 мм;</w:t>
      </w:r>
      <w:r w:rsidRPr="00486F74">
        <w:rPr>
          <w:rFonts w:ascii="Open Sans" w:hAnsi="Open Sans"/>
          <w:color w:val="757575"/>
        </w:rPr>
        <w:br/>
        <w:t>• нет видимых крепёжных элементов для дополнительной защиты от вредительства;</w:t>
      </w:r>
      <w:r w:rsidRPr="00486F74">
        <w:rPr>
          <w:rFonts w:ascii="Open Sans" w:hAnsi="Open Sans"/>
          <w:color w:val="757575"/>
        </w:rPr>
        <w:br/>
        <w:t>• датчик поставляется с пломбировочным комплектом (у большинства производителей он продается отдельно);</w:t>
      </w:r>
      <w:r w:rsidRPr="00486F74">
        <w:rPr>
          <w:rFonts w:ascii="Open Sans" w:hAnsi="Open Sans"/>
          <w:color w:val="757575"/>
        </w:rPr>
        <w:br/>
        <w:t xml:space="preserve">• разъём датчика и </w:t>
      </w:r>
      <w:proofErr w:type="spellStart"/>
      <w:r w:rsidRPr="00486F74">
        <w:rPr>
          <w:rFonts w:ascii="Open Sans" w:hAnsi="Open Sans"/>
          <w:color w:val="757575"/>
        </w:rPr>
        <w:t>гермоввод</w:t>
      </w:r>
      <w:proofErr w:type="spellEnd"/>
      <w:r w:rsidRPr="00486F74">
        <w:rPr>
          <w:rFonts w:ascii="Open Sans" w:hAnsi="Open Sans"/>
          <w:color w:val="757575"/>
        </w:rPr>
        <w:t xml:space="preserve"> являются неразборными для увеличения защиты от топлива и влаги.</w:t>
      </w:r>
    </w:p>
    <w:p w:rsidR="00ED784D" w:rsidRPr="00486F74" w:rsidRDefault="00ED784D" w:rsidP="00ED784D">
      <w:pPr>
        <w:pStyle w:val="a4"/>
        <w:shd w:val="clear" w:color="auto" w:fill="FFFFFF"/>
        <w:spacing w:before="300" w:beforeAutospacing="0" w:after="300" w:afterAutospacing="0" w:line="270" w:lineRule="atLeast"/>
        <w:rPr>
          <w:rFonts w:ascii="Open Sans" w:hAnsi="Open Sans"/>
          <w:color w:val="757575"/>
        </w:rPr>
      </w:pPr>
      <w:r w:rsidRPr="00486F74">
        <w:rPr>
          <w:rFonts w:ascii="Open Sans" w:hAnsi="Open Sans"/>
          <w:b/>
          <w:bCs/>
          <w:color w:val="757575"/>
        </w:rPr>
        <w:t>Датчик выпускается с разными интерфейсами:</w:t>
      </w:r>
      <w:r w:rsidRPr="00486F74">
        <w:rPr>
          <w:rFonts w:ascii="Open Sans" w:hAnsi="Open Sans"/>
          <w:color w:val="757575"/>
        </w:rPr>
        <w:br/>
        <w:t>• A/F/485 это аналого-частотный и 485 цифровой интерфейс;</w:t>
      </w:r>
      <w:r w:rsidRPr="00486F74">
        <w:rPr>
          <w:rFonts w:ascii="Open Sans" w:hAnsi="Open Sans"/>
          <w:color w:val="757575"/>
        </w:rPr>
        <w:br/>
        <w:t>• 232/485 - это цифровой датчик с интерфейсом 232 и 485.</w:t>
      </w:r>
    </w:p>
    <w:p w:rsidR="00ED784D" w:rsidRPr="00486F74" w:rsidRDefault="00ED784D" w:rsidP="00ED78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84D" w:rsidRPr="00486F74" w:rsidRDefault="00486F74" w:rsidP="00ED784D">
      <w:pPr>
        <w:numPr>
          <w:ilvl w:val="0"/>
          <w:numId w:val="4"/>
        </w:numPr>
        <w:shd w:val="clear" w:color="auto" w:fill="FFFFFF"/>
        <w:spacing w:before="150" w:after="100" w:afterAutospacing="1" w:line="240" w:lineRule="auto"/>
        <w:ind w:left="-150"/>
        <w:rPr>
          <w:rFonts w:ascii="Open Sans" w:hAnsi="Open Sans"/>
          <w:color w:val="444444"/>
          <w:sz w:val="24"/>
          <w:szCs w:val="24"/>
        </w:rPr>
      </w:pPr>
      <w:hyperlink r:id="rId7" w:history="1">
        <w:r w:rsidR="00ED784D" w:rsidRPr="00486F74">
          <w:rPr>
            <w:rStyle w:val="a3"/>
            <w:rFonts w:ascii="Arial" w:hAnsi="Arial" w:cs="Arial"/>
            <w:color w:val="444444"/>
            <w:sz w:val="24"/>
            <w:szCs w:val="24"/>
            <w:shd w:val="clear" w:color="auto" w:fill="EEEEEE"/>
          </w:rPr>
          <w:t>Характеристики</w:t>
        </w:r>
      </w:hyperlink>
    </w:p>
    <w:tbl>
      <w:tblPr>
        <w:tblW w:w="76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57"/>
        <w:gridCol w:w="2993"/>
      </w:tblGrid>
      <w:tr w:rsidR="00ED784D" w:rsidRPr="00ED784D" w:rsidTr="00ED784D">
        <w:tc>
          <w:tcPr>
            <w:tcW w:w="4283" w:type="dxa"/>
            <w:tcBorders>
              <w:bottom w:val="single" w:sz="2" w:space="0" w:color="BDBDBD"/>
              <w:right w:val="single" w:sz="6" w:space="0" w:color="18265A"/>
            </w:tcBorders>
            <w:tcMar>
              <w:top w:w="360" w:type="dxa"/>
              <w:left w:w="150" w:type="dxa"/>
              <w:bottom w:w="105" w:type="dxa"/>
              <w:right w:w="150" w:type="dxa"/>
            </w:tcMar>
            <w:hideMark/>
          </w:tcPr>
          <w:p w:rsidR="00ED784D" w:rsidRPr="00ED784D" w:rsidRDefault="00ED784D" w:rsidP="00ED784D">
            <w:pPr>
              <w:spacing w:after="30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78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Диапазон изменения аналогового выходного сигнала</w:t>
            </w:r>
          </w:p>
        </w:tc>
        <w:tc>
          <w:tcPr>
            <w:tcW w:w="2753" w:type="dxa"/>
            <w:tcBorders>
              <w:bottom w:val="single" w:sz="2" w:space="0" w:color="BDBDBD"/>
              <w:right w:val="single" w:sz="2" w:space="0" w:color="18265A"/>
            </w:tcBorders>
            <w:tcMar>
              <w:top w:w="360" w:type="dxa"/>
              <w:left w:w="150" w:type="dxa"/>
              <w:bottom w:w="105" w:type="dxa"/>
              <w:right w:w="150" w:type="dxa"/>
            </w:tcMar>
            <w:hideMark/>
          </w:tcPr>
          <w:p w:rsidR="00ED784D" w:rsidRPr="00ED784D" w:rsidRDefault="00ED784D" w:rsidP="00ED784D">
            <w:pPr>
              <w:spacing w:after="30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78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0 до 20В</w:t>
            </w:r>
          </w:p>
        </w:tc>
      </w:tr>
      <w:tr w:rsidR="00ED784D" w:rsidRPr="00ED784D" w:rsidTr="00ED784D">
        <w:tc>
          <w:tcPr>
            <w:tcW w:w="4283" w:type="dxa"/>
            <w:tcBorders>
              <w:bottom w:val="single" w:sz="2" w:space="0" w:color="BDBDBD"/>
              <w:right w:val="single" w:sz="6" w:space="0" w:color="18265A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ED784D" w:rsidRPr="00ED784D" w:rsidRDefault="00ED784D" w:rsidP="00ED784D">
            <w:pPr>
              <w:spacing w:after="30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78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Диапазон изменения частотного выходного сигнала</w:t>
            </w:r>
          </w:p>
        </w:tc>
        <w:tc>
          <w:tcPr>
            <w:tcW w:w="2753" w:type="dxa"/>
            <w:tcBorders>
              <w:bottom w:val="single" w:sz="2" w:space="0" w:color="BDBDBD"/>
              <w:right w:val="single" w:sz="2" w:space="0" w:color="18265A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ED784D" w:rsidRPr="00ED784D" w:rsidRDefault="00ED784D" w:rsidP="00ED784D">
            <w:pPr>
              <w:spacing w:after="30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78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30 до 2000 Гц</w:t>
            </w:r>
          </w:p>
        </w:tc>
      </w:tr>
      <w:tr w:rsidR="00ED784D" w:rsidRPr="00ED784D" w:rsidTr="00ED784D">
        <w:tc>
          <w:tcPr>
            <w:tcW w:w="4283" w:type="dxa"/>
            <w:tcBorders>
              <w:bottom w:val="single" w:sz="2" w:space="0" w:color="BDBDBD"/>
              <w:right w:val="single" w:sz="6" w:space="0" w:color="18265A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ED784D" w:rsidRPr="00ED784D" w:rsidRDefault="00ED784D" w:rsidP="00ED784D">
            <w:pPr>
              <w:spacing w:after="30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78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Диапазон изменения цифрового сигнала</w:t>
            </w:r>
          </w:p>
        </w:tc>
        <w:tc>
          <w:tcPr>
            <w:tcW w:w="2753" w:type="dxa"/>
            <w:tcBorders>
              <w:bottom w:val="single" w:sz="2" w:space="0" w:color="BDBDBD"/>
              <w:right w:val="single" w:sz="2" w:space="0" w:color="18265A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ED784D" w:rsidRPr="00ED784D" w:rsidRDefault="00ED784D" w:rsidP="00ED784D">
            <w:pPr>
              <w:spacing w:after="30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78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0 до 4095</w:t>
            </w:r>
          </w:p>
        </w:tc>
      </w:tr>
      <w:tr w:rsidR="00ED784D" w:rsidRPr="00ED784D" w:rsidTr="00ED784D">
        <w:tc>
          <w:tcPr>
            <w:tcW w:w="4283" w:type="dxa"/>
            <w:tcBorders>
              <w:bottom w:val="single" w:sz="2" w:space="0" w:color="BDBDBD"/>
              <w:right w:val="single" w:sz="6" w:space="0" w:color="18265A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ED784D" w:rsidRPr="00ED784D" w:rsidRDefault="00ED784D" w:rsidP="00ED784D">
            <w:pPr>
              <w:spacing w:after="30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78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Интерфейс обмена цифровыми данными с внешним устройством</w:t>
            </w:r>
          </w:p>
        </w:tc>
        <w:tc>
          <w:tcPr>
            <w:tcW w:w="2753" w:type="dxa"/>
            <w:tcBorders>
              <w:bottom w:val="single" w:sz="2" w:space="0" w:color="BDBDBD"/>
              <w:right w:val="single" w:sz="2" w:space="0" w:color="18265A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ED784D" w:rsidRPr="00ED784D" w:rsidRDefault="00ED784D" w:rsidP="00ED784D">
            <w:pPr>
              <w:spacing w:after="30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78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RS-485</w:t>
            </w:r>
          </w:p>
        </w:tc>
      </w:tr>
      <w:tr w:rsidR="00ED784D" w:rsidRPr="00ED784D" w:rsidTr="00ED784D">
        <w:tc>
          <w:tcPr>
            <w:tcW w:w="4283" w:type="dxa"/>
            <w:tcBorders>
              <w:bottom w:val="single" w:sz="2" w:space="0" w:color="BDBDBD"/>
              <w:right w:val="single" w:sz="6" w:space="0" w:color="18265A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ED784D" w:rsidRPr="00ED784D" w:rsidRDefault="00ED784D" w:rsidP="00ED784D">
            <w:pPr>
              <w:spacing w:after="30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78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Напряжение источника питания постоянного тока</w:t>
            </w:r>
          </w:p>
        </w:tc>
        <w:tc>
          <w:tcPr>
            <w:tcW w:w="2753" w:type="dxa"/>
            <w:tcBorders>
              <w:bottom w:val="single" w:sz="2" w:space="0" w:color="BDBDBD"/>
              <w:right w:val="single" w:sz="2" w:space="0" w:color="18265A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ED784D" w:rsidRPr="00ED784D" w:rsidRDefault="00ED784D" w:rsidP="00ED784D">
            <w:pPr>
              <w:spacing w:after="30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78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7 до 40В</w:t>
            </w:r>
          </w:p>
        </w:tc>
      </w:tr>
      <w:tr w:rsidR="00ED784D" w:rsidRPr="00ED784D" w:rsidTr="00ED784D">
        <w:tc>
          <w:tcPr>
            <w:tcW w:w="4283" w:type="dxa"/>
            <w:tcBorders>
              <w:bottom w:val="single" w:sz="2" w:space="0" w:color="BDBDBD"/>
              <w:right w:val="single" w:sz="6" w:space="0" w:color="18265A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ED784D" w:rsidRPr="00ED784D" w:rsidRDefault="00ED784D" w:rsidP="00ED784D">
            <w:pPr>
              <w:spacing w:after="30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78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Диапазон рабочих температур, °C</w:t>
            </w:r>
          </w:p>
        </w:tc>
        <w:tc>
          <w:tcPr>
            <w:tcW w:w="2753" w:type="dxa"/>
            <w:tcBorders>
              <w:bottom w:val="single" w:sz="2" w:space="0" w:color="BDBDBD"/>
              <w:right w:val="single" w:sz="2" w:space="0" w:color="18265A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ED784D" w:rsidRPr="00ED784D" w:rsidRDefault="00ED784D" w:rsidP="00ED784D">
            <w:pPr>
              <w:spacing w:after="30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78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-40 до +85</w:t>
            </w:r>
          </w:p>
        </w:tc>
      </w:tr>
      <w:tr w:rsidR="00ED784D" w:rsidRPr="00ED784D" w:rsidTr="00ED784D">
        <w:tc>
          <w:tcPr>
            <w:tcW w:w="4283" w:type="dxa"/>
            <w:tcBorders>
              <w:bottom w:val="single" w:sz="2" w:space="0" w:color="BDBDBD"/>
              <w:right w:val="single" w:sz="6" w:space="0" w:color="18265A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ED784D" w:rsidRPr="00ED784D" w:rsidRDefault="00ED784D" w:rsidP="00ED784D">
            <w:pPr>
              <w:spacing w:after="30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78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Относительная приведенная погрешность измерения, не более</w:t>
            </w:r>
          </w:p>
        </w:tc>
        <w:tc>
          <w:tcPr>
            <w:tcW w:w="2753" w:type="dxa"/>
            <w:tcBorders>
              <w:bottom w:val="single" w:sz="2" w:space="0" w:color="BDBDBD"/>
              <w:right w:val="single" w:sz="2" w:space="0" w:color="18265A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ED784D" w:rsidRPr="00ED784D" w:rsidRDefault="00ED784D" w:rsidP="00ED784D">
            <w:pPr>
              <w:spacing w:after="30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78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1%</w:t>
            </w:r>
          </w:p>
        </w:tc>
      </w:tr>
      <w:tr w:rsidR="00ED784D" w:rsidRPr="00ED784D" w:rsidTr="00ED784D">
        <w:tc>
          <w:tcPr>
            <w:tcW w:w="4283" w:type="dxa"/>
            <w:tcBorders>
              <w:bottom w:val="single" w:sz="2" w:space="0" w:color="BDBDBD"/>
              <w:right w:val="single" w:sz="6" w:space="0" w:color="18265A"/>
            </w:tcBorders>
            <w:tcMar>
              <w:top w:w="105" w:type="dxa"/>
              <w:left w:w="150" w:type="dxa"/>
              <w:bottom w:w="360" w:type="dxa"/>
              <w:right w:w="150" w:type="dxa"/>
            </w:tcMar>
            <w:hideMark/>
          </w:tcPr>
          <w:p w:rsidR="00ED784D" w:rsidRPr="00ED784D" w:rsidRDefault="00ED784D" w:rsidP="00ED784D">
            <w:pPr>
              <w:spacing w:after="30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78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Потребляемая мощность:</w:t>
            </w:r>
          </w:p>
        </w:tc>
        <w:tc>
          <w:tcPr>
            <w:tcW w:w="2753" w:type="dxa"/>
            <w:tcBorders>
              <w:bottom w:val="single" w:sz="2" w:space="0" w:color="BDBDBD"/>
              <w:right w:val="single" w:sz="2" w:space="0" w:color="18265A"/>
            </w:tcBorders>
            <w:tcMar>
              <w:top w:w="105" w:type="dxa"/>
              <w:left w:w="150" w:type="dxa"/>
              <w:bottom w:w="360" w:type="dxa"/>
              <w:right w:w="150" w:type="dxa"/>
            </w:tcMar>
            <w:hideMark/>
          </w:tcPr>
          <w:p w:rsidR="00ED784D" w:rsidRPr="00ED784D" w:rsidRDefault="00ED784D" w:rsidP="00ED784D">
            <w:pPr>
              <w:spacing w:after="30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78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0,55Вт не более 0,9Вт</w:t>
            </w:r>
          </w:p>
        </w:tc>
      </w:tr>
    </w:tbl>
    <w:p w:rsidR="00ED784D" w:rsidRDefault="00ED784D"/>
    <w:sectPr w:rsidR="00ED78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17F24"/>
    <w:multiLevelType w:val="multilevel"/>
    <w:tmpl w:val="AC28E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53696E"/>
    <w:multiLevelType w:val="multilevel"/>
    <w:tmpl w:val="E11C8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3D799F"/>
    <w:multiLevelType w:val="multilevel"/>
    <w:tmpl w:val="16B43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C61CF4"/>
    <w:multiLevelType w:val="multilevel"/>
    <w:tmpl w:val="E1F4C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863021"/>
    <w:multiLevelType w:val="multilevel"/>
    <w:tmpl w:val="4E9A0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5E7D51"/>
    <w:multiLevelType w:val="multilevel"/>
    <w:tmpl w:val="C3F04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A07"/>
    <w:rsid w:val="00486F74"/>
    <w:rsid w:val="00790A07"/>
    <w:rsid w:val="00EA336B"/>
    <w:rsid w:val="00ED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1E8AA"/>
  <w15:chartTrackingRefBased/>
  <w15:docId w15:val="{1BDC0A80-9428-41EA-9B52-BB7CFE74B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D784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784D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ED784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ED7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760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52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05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3" w:color="56A25D"/>
                <w:right w:val="none" w:sz="0" w:space="0" w:color="auto"/>
              </w:divBdr>
            </w:div>
          </w:divsChild>
        </w:div>
      </w:divsChild>
    </w:div>
    <w:div w:id="119577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45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5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3" w:color="56A25D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talonpro.com/ru/produktsiy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talonpro.com/ru/produktsiya" TargetMode="External"/><Relationship Id="rId5" Type="http://schemas.openxmlformats.org/officeDocument/2006/relationships/hyperlink" Target="https://italonpro.com/ru/produktsiy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272</Words>
  <Characters>1552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romashkin982@gmail.com</dc:creator>
  <cp:keywords/>
  <dc:description/>
  <cp:lastModifiedBy>Sputnik</cp:lastModifiedBy>
  <cp:revision>3</cp:revision>
  <dcterms:created xsi:type="dcterms:W3CDTF">2021-09-08T08:06:00Z</dcterms:created>
  <dcterms:modified xsi:type="dcterms:W3CDTF">2021-09-13T11:21:00Z</dcterms:modified>
</cp:coreProperties>
</file>